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56F1" w14:textId="303A3C51" w:rsidR="005D4C35" w:rsidRDefault="005D4C35" w:rsidP="005D4C35">
      <w:pPr>
        <w:spacing w:after="0" w:line="240" w:lineRule="auto"/>
        <w:jc w:val="both"/>
        <w:rPr>
          <w:rFonts w:cs="Arial"/>
          <w:sz w:val="20"/>
          <w:szCs w:val="20"/>
        </w:rPr>
      </w:pPr>
      <w:r w:rsidRPr="00AD2D4D">
        <w:rPr>
          <w:rFonts w:cs="Arial"/>
          <w:sz w:val="20"/>
          <w:szCs w:val="20"/>
        </w:rPr>
        <w:t>Valledupar,</w:t>
      </w:r>
      <w:r>
        <w:rPr>
          <w:rFonts w:cs="Arial"/>
          <w:sz w:val="20"/>
          <w:szCs w:val="20"/>
        </w:rPr>
        <w:t xml:space="preserve"> </w:t>
      </w:r>
    </w:p>
    <w:p w14:paraId="75B7105F" w14:textId="77777777" w:rsidR="005D4C35" w:rsidRDefault="005D4C35" w:rsidP="005D4C35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AFC0EE4" w14:textId="77777777" w:rsidR="005D4C35" w:rsidRDefault="005D4C35" w:rsidP="005D4C3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Señores:</w:t>
      </w:r>
    </w:p>
    <w:p w14:paraId="02D3F668" w14:textId="6FB09223" w:rsidR="005D4C35" w:rsidRDefault="005D4C35" w:rsidP="005D4C3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CAJA DE COMPENSACION FAMILIAR DEL CESAR - COMFACESAR</w:t>
      </w:r>
    </w:p>
    <w:p w14:paraId="18A0A264" w14:textId="3DCAF823" w:rsidR="005D4C35" w:rsidRDefault="00DF5114" w:rsidP="005D4C3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Ciudad:</w:t>
      </w:r>
    </w:p>
    <w:p w14:paraId="6582890E" w14:textId="77777777" w:rsidR="005D4C35" w:rsidRPr="00AD2D4D" w:rsidRDefault="005D4C35" w:rsidP="005D4C35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BD0CDCD" w14:textId="28B2327B" w:rsidR="005D4C35" w:rsidRPr="00041DAF" w:rsidRDefault="005D4C35" w:rsidP="005D4C35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041DAF">
        <w:rPr>
          <w:rFonts w:cs="Arial"/>
          <w:b/>
          <w:sz w:val="20"/>
          <w:szCs w:val="20"/>
        </w:rPr>
        <w:t xml:space="preserve">Declaración Juramentada para efectos tributarios – </w:t>
      </w:r>
      <w:r w:rsidR="009A3D66">
        <w:rPr>
          <w:rFonts w:cs="Arial"/>
          <w:b/>
          <w:sz w:val="20"/>
          <w:szCs w:val="20"/>
        </w:rPr>
        <w:t>S</w:t>
      </w:r>
      <w:r w:rsidRPr="00041DAF">
        <w:rPr>
          <w:rFonts w:cs="Arial"/>
          <w:b/>
          <w:sz w:val="20"/>
          <w:szCs w:val="20"/>
        </w:rPr>
        <w:t>istema de determinación del impuesto sobre la Renta de las personas naturales.</w:t>
      </w:r>
    </w:p>
    <w:p w14:paraId="74742B01" w14:textId="77777777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</w:p>
    <w:p w14:paraId="27A2B708" w14:textId="77777777" w:rsidR="005D4C35" w:rsidRDefault="005D4C35" w:rsidP="005D4C3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28547683" w14:textId="0DAC7936" w:rsidR="005D4C35" w:rsidRDefault="005D4C35" w:rsidP="005D4C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del prestador del servicio: </w:t>
      </w:r>
    </w:p>
    <w:p w14:paraId="4B5359CE" w14:textId="574767BB" w:rsidR="005D4C35" w:rsidRDefault="005D4C35" w:rsidP="005D4C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Identificación</w:t>
      </w:r>
      <w:r w:rsidR="009A3D66">
        <w:rPr>
          <w:sz w:val="20"/>
          <w:szCs w:val="20"/>
        </w:rPr>
        <w:t>:</w:t>
      </w:r>
    </w:p>
    <w:p w14:paraId="57A901FC" w14:textId="5F88627E" w:rsidR="005D4C35" w:rsidRDefault="005D4C35" w:rsidP="005D4C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Actualmente me encuentro obligado a facturar con IVA:  SI__ NO: </w:t>
      </w:r>
    </w:p>
    <w:p w14:paraId="09BE0BB3" w14:textId="6CEBACA3" w:rsidR="005D4C35" w:rsidRDefault="005D4C35" w:rsidP="005D4C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Mes al que pertenece la certificación: </w:t>
      </w:r>
    </w:p>
    <w:p w14:paraId="5AD37BC3" w14:textId="66B69CDD" w:rsidR="005D4C35" w:rsidRDefault="005D4C35" w:rsidP="005D4C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Categoría Tributaria del contribuyente: </w:t>
      </w:r>
    </w:p>
    <w:p w14:paraId="7E3FC858" w14:textId="0FBA45B7" w:rsidR="005D4C35" w:rsidRDefault="005D4C35" w:rsidP="005D4C35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14:paraId="78112B2F" w14:textId="77777777" w:rsidR="00A67A67" w:rsidRPr="00041DAF" w:rsidRDefault="00A67A67" w:rsidP="005D4C35">
      <w:pPr>
        <w:pStyle w:val="Prrafodelista"/>
        <w:spacing w:after="0" w:line="240" w:lineRule="auto"/>
        <w:jc w:val="both"/>
        <w:rPr>
          <w:sz w:val="20"/>
          <w:szCs w:val="20"/>
        </w:rPr>
      </w:pPr>
    </w:p>
    <w:p w14:paraId="5E1BE512" w14:textId="4D0ACA96" w:rsidR="00A67A67" w:rsidRPr="000046F3" w:rsidRDefault="00A67A67" w:rsidP="00A67A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apple-converted-space"/>
          <w:color w:val="282828"/>
          <w:sz w:val="20"/>
          <w:szCs w:val="20"/>
          <w:shd w:val="clear" w:color="auto" w:fill="FFFFFF"/>
        </w:rPr>
      </w:pPr>
      <w:r>
        <w:rPr>
          <w:rStyle w:val="apple-converted-space"/>
          <w:color w:val="282828"/>
          <w:sz w:val="20"/>
          <w:szCs w:val="20"/>
          <w:shd w:val="clear" w:color="auto" w:fill="FFFFFF"/>
        </w:rPr>
        <w:t xml:space="preserve">En mi depuración del impuesto sobre la renta no usaré costos y gastos, y si la renta exenta del 25% contenida en el numeral 10 del artículo 206 del ET. </w:t>
      </w:r>
      <w:r w:rsidRPr="00491A62">
        <w:rPr>
          <w:b/>
          <w:color w:val="282828"/>
          <w:sz w:val="20"/>
          <w:szCs w:val="20"/>
          <w:shd w:val="clear" w:color="auto" w:fill="FFFFFF"/>
        </w:rPr>
        <w:t xml:space="preserve">SI </w:t>
      </w:r>
      <w:proofErr w:type="gramStart"/>
      <w:r w:rsidRPr="00491A62">
        <w:rPr>
          <w:b/>
          <w:color w:val="282828"/>
          <w:sz w:val="20"/>
          <w:szCs w:val="20"/>
          <w:shd w:val="clear" w:color="auto" w:fill="FFFFFF"/>
        </w:rPr>
        <w:t>(  )</w:t>
      </w:r>
      <w:proofErr w:type="gramEnd"/>
      <w:r w:rsidRPr="00491A62">
        <w:rPr>
          <w:b/>
          <w:color w:val="282828"/>
          <w:sz w:val="20"/>
          <w:szCs w:val="20"/>
          <w:shd w:val="clear" w:color="auto" w:fill="FFFFFF"/>
        </w:rPr>
        <w:t>   NO (</w:t>
      </w:r>
      <w:r>
        <w:rPr>
          <w:b/>
          <w:color w:val="282828"/>
          <w:sz w:val="20"/>
          <w:szCs w:val="20"/>
          <w:shd w:val="clear" w:color="auto" w:fill="FFFFFF"/>
        </w:rPr>
        <w:t xml:space="preserve"> </w:t>
      </w:r>
      <w:r w:rsidRPr="00491A62">
        <w:rPr>
          <w:b/>
          <w:color w:val="282828"/>
          <w:sz w:val="20"/>
          <w:szCs w:val="20"/>
          <w:shd w:val="clear" w:color="auto" w:fill="FFFFFF"/>
        </w:rPr>
        <w:t xml:space="preserve"> )</w:t>
      </w:r>
      <w:r w:rsidRPr="00491A62">
        <w:rPr>
          <w:rStyle w:val="apple-converted-space"/>
          <w:b/>
          <w:color w:val="282828"/>
          <w:sz w:val="20"/>
          <w:szCs w:val="20"/>
          <w:shd w:val="clear" w:color="auto" w:fill="FFFFFF"/>
        </w:rPr>
        <w:t> </w:t>
      </w:r>
    </w:p>
    <w:p w14:paraId="452DE4D6" w14:textId="77777777" w:rsidR="005D4C35" w:rsidRDefault="005D4C35" w:rsidP="005D4C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 xml:space="preserve">Que informaré oportunamente sobre cualquier cambio en el origen, proporción de mis ingresos o cambio respecto a la categoría tributaria. </w:t>
      </w:r>
    </w:p>
    <w:p w14:paraId="0CB0B5FE" w14:textId="3B08D17B" w:rsidR="005D4C35" w:rsidRPr="00491A62" w:rsidRDefault="005D4C35" w:rsidP="005D4C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Certifico bajo gravedad de juramento que los documentos soportes del pago de aportes obligados al sistema de seguridad social en salud, pensión y riesgos profesionales corresponden a los ingresos provenientes del contrato.  </w:t>
      </w:r>
      <w:r w:rsidRPr="00491A62">
        <w:rPr>
          <w:b/>
          <w:color w:val="282828"/>
          <w:sz w:val="20"/>
          <w:szCs w:val="20"/>
          <w:shd w:val="clear" w:color="auto" w:fill="FFFFFF"/>
        </w:rPr>
        <w:t xml:space="preserve">SI </w:t>
      </w:r>
      <w:proofErr w:type="gramStart"/>
      <w:r w:rsidRPr="00491A62">
        <w:rPr>
          <w:b/>
          <w:color w:val="282828"/>
          <w:sz w:val="20"/>
          <w:szCs w:val="20"/>
          <w:shd w:val="clear" w:color="auto" w:fill="FFFFFF"/>
        </w:rPr>
        <w:t>(  )</w:t>
      </w:r>
      <w:proofErr w:type="gramEnd"/>
      <w:r w:rsidRPr="00491A62">
        <w:rPr>
          <w:b/>
          <w:color w:val="282828"/>
          <w:sz w:val="20"/>
          <w:szCs w:val="20"/>
          <w:shd w:val="clear" w:color="auto" w:fill="FFFFFF"/>
        </w:rPr>
        <w:t>   NO (</w:t>
      </w:r>
      <w:r>
        <w:rPr>
          <w:b/>
          <w:color w:val="282828"/>
          <w:sz w:val="20"/>
          <w:szCs w:val="20"/>
          <w:shd w:val="clear" w:color="auto" w:fill="FFFFFF"/>
        </w:rPr>
        <w:t xml:space="preserve"> </w:t>
      </w:r>
      <w:r w:rsidRPr="00491A62">
        <w:rPr>
          <w:b/>
          <w:color w:val="282828"/>
          <w:sz w:val="20"/>
          <w:szCs w:val="20"/>
          <w:shd w:val="clear" w:color="auto" w:fill="FFFFFF"/>
        </w:rPr>
        <w:t xml:space="preserve"> )</w:t>
      </w:r>
      <w:r w:rsidRPr="00491A62">
        <w:rPr>
          <w:rStyle w:val="apple-converted-space"/>
          <w:b/>
          <w:color w:val="282828"/>
          <w:sz w:val="20"/>
          <w:szCs w:val="20"/>
          <w:shd w:val="clear" w:color="auto" w:fill="FFFFFF"/>
        </w:rPr>
        <w:t> </w:t>
      </w:r>
    </w:p>
    <w:p w14:paraId="000207DD" w14:textId="07C7A205" w:rsidR="005D4C35" w:rsidRDefault="005D4C35" w:rsidP="005D4C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apple-converted-space"/>
          <w:b/>
          <w:color w:val="282828"/>
          <w:sz w:val="20"/>
          <w:szCs w:val="20"/>
          <w:shd w:val="clear" w:color="auto" w:fill="FFFFFF"/>
        </w:rPr>
      </w:pPr>
      <w:bookmarkStart w:id="0" w:name="_GoBack"/>
      <w:r>
        <w:rPr>
          <w:rStyle w:val="apple-converted-space"/>
          <w:color w:val="282828"/>
          <w:sz w:val="20"/>
          <w:szCs w:val="20"/>
          <w:shd w:val="clear" w:color="auto" w:fill="FFFFFF"/>
        </w:rPr>
        <w:t>Mis ingresos totales durante el año 202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3</w:t>
      </w:r>
      <w:r>
        <w:rPr>
          <w:rStyle w:val="apple-converted-space"/>
          <w:color w:val="282828"/>
          <w:sz w:val="20"/>
          <w:szCs w:val="20"/>
          <w:shd w:val="clear" w:color="auto" w:fill="FFFFFF"/>
        </w:rPr>
        <w:t xml:space="preserve"> fueron iguales o superiores a Mil cuatrocientos (1.400) UVT ($5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9</w:t>
      </w:r>
      <w:r>
        <w:rPr>
          <w:rStyle w:val="apple-converted-space"/>
          <w:color w:val="282828"/>
          <w:sz w:val="20"/>
          <w:szCs w:val="20"/>
          <w:shd w:val="clear" w:color="auto" w:fill="FFFFFF"/>
        </w:rPr>
        <w:t>.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376</w:t>
      </w:r>
      <w:r>
        <w:rPr>
          <w:rStyle w:val="apple-converted-space"/>
          <w:color w:val="282828"/>
          <w:sz w:val="20"/>
          <w:szCs w:val="20"/>
          <w:shd w:val="clear" w:color="auto" w:fill="FFFFFF"/>
        </w:rPr>
        <w:t>.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8</w:t>
      </w:r>
      <w:r>
        <w:rPr>
          <w:rStyle w:val="apple-converted-space"/>
          <w:color w:val="282828"/>
          <w:sz w:val="20"/>
          <w:szCs w:val="20"/>
          <w:shd w:val="clear" w:color="auto" w:fill="FFFFFF"/>
        </w:rPr>
        <w:t xml:space="preserve">00).      </w:t>
      </w:r>
      <w:r w:rsidRPr="00491A62">
        <w:rPr>
          <w:b/>
          <w:color w:val="282828"/>
          <w:sz w:val="20"/>
          <w:szCs w:val="20"/>
          <w:shd w:val="clear" w:color="auto" w:fill="FFFFFF"/>
        </w:rPr>
        <w:t xml:space="preserve">SI </w:t>
      </w:r>
      <w:proofErr w:type="gramStart"/>
      <w:r w:rsidRPr="00491A62">
        <w:rPr>
          <w:b/>
          <w:color w:val="282828"/>
          <w:sz w:val="20"/>
          <w:szCs w:val="20"/>
          <w:shd w:val="clear" w:color="auto" w:fill="FFFFFF"/>
        </w:rPr>
        <w:t>(</w:t>
      </w:r>
      <w:r>
        <w:rPr>
          <w:b/>
          <w:color w:val="282828"/>
          <w:sz w:val="20"/>
          <w:szCs w:val="20"/>
          <w:shd w:val="clear" w:color="auto" w:fill="FFFFFF"/>
        </w:rPr>
        <w:t xml:space="preserve"> </w:t>
      </w:r>
      <w:r w:rsidRPr="00491A62">
        <w:rPr>
          <w:b/>
          <w:color w:val="282828"/>
          <w:sz w:val="20"/>
          <w:szCs w:val="20"/>
          <w:shd w:val="clear" w:color="auto" w:fill="FFFFFF"/>
        </w:rPr>
        <w:t xml:space="preserve"> )</w:t>
      </w:r>
      <w:proofErr w:type="gramEnd"/>
      <w:r w:rsidRPr="00491A62">
        <w:rPr>
          <w:b/>
          <w:color w:val="282828"/>
          <w:sz w:val="20"/>
          <w:szCs w:val="20"/>
          <w:shd w:val="clear" w:color="auto" w:fill="FFFFFF"/>
        </w:rPr>
        <w:t>   NO (   )</w:t>
      </w:r>
      <w:r w:rsidRPr="00491A62">
        <w:rPr>
          <w:rStyle w:val="apple-converted-space"/>
          <w:b/>
          <w:color w:val="282828"/>
          <w:sz w:val="20"/>
          <w:szCs w:val="20"/>
          <w:shd w:val="clear" w:color="auto" w:fill="FFFFFF"/>
        </w:rPr>
        <w:t> </w:t>
      </w:r>
    </w:p>
    <w:p w14:paraId="68F447A1" w14:textId="6E411FC0" w:rsidR="005D4C35" w:rsidRPr="009A3D66" w:rsidRDefault="005D4C35" w:rsidP="005D4C3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apple-converted-space"/>
          <w:color w:val="282828"/>
          <w:sz w:val="20"/>
          <w:szCs w:val="20"/>
          <w:shd w:val="clear" w:color="auto" w:fill="FFFFFF"/>
        </w:rPr>
      </w:pPr>
      <w:r w:rsidRPr="00C877E0">
        <w:rPr>
          <w:rStyle w:val="apple-converted-space"/>
          <w:color w:val="282828"/>
          <w:sz w:val="20"/>
          <w:szCs w:val="20"/>
          <w:shd w:val="clear" w:color="auto" w:fill="FFFFFF"/>
        </w:rPr>
        <w:t>Mi</w:t>
      </w:r>
      <w:r>
        <w:rPr>
          <w:rStyle w:val="apple-converted-space"/>
          <w:color w:val="282828"/>
          <w:sz w:val="20"/>
          <w:szCs w:val="20"/>
          <w:shd w:val="clear" w:color="auto" w:fill="FFFFFF"/>
        </w:rPr>
        <w:t xml:space="preserve"> patrimonio bruto durante el año 202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3</w:t>
      </w:r>
      <w:r>
        <w:rPr>
          <w:rStyle w:val="apple-converted-space"/>
          <w:color w:val="282828"/>
          <w:sz w:val="20"/>
          <w:szCs w:val="20"/>
          <w:shd w:val="clear" w:color="auto" w:fill="FFFFFF"/>
        </w:rPr>
        <w:t xml:space="preserve"> era igual o superior a cuatro mil quinientos (4.500) UVT (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$190</w:t>
      </w:r>
      <w:r w:rsidRPr="000046F3">
        <w:rPr>
          <w:rStyle w:val="apple-converted-space"/>
          <w:color w:val="282828"/>
          <w:sz w:val="20"/>
          <w:szCs w:val="20"/>
          <w:shd w:val="clear" w:color="auto" w:fill="FFFFFF"/>
        </w:rPr>
        <w:t>.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854</w:t>
      </w:r>
      <w:r w:rsidRPr="000046F3">
        <w:rPr>
          <w:rStyle w:val="apple-converted-space"/>
          <w:color w:val="282828"/>
          <w:sz w:val="20"/>
          <w:szCs w:val="20"/>
          <w:shd w:val="clear" w:color="auto" w:fill="FFFFFF"/>
        </w:rPr>
        <w:t>.</w:t>
      </w:r>
      <w:r w:rsidR="009A3D66">
        <w:rPr>
          <w:rStyle w:val="apple-converted-space"/>
          <w:color w:val="282828"/>
          <w:sz w:val="20"/>
          <w:szCs w:val="20"/>
          <w:shd w:val="clear" w:color="auto" w:fill="FFFFFF"/>
        </w:rPr>
        <w:t>0</w:t>
      </w:r>
      <w:r w:rsidRPr="000046F3">
        <w:rPr>
          <w:rStyle w:val="apple-converted-space"/>
          <w:color w:val="282828"/>
          <w:sz w:val="20"/>
          <w:szCs w:val="20"/>
          <w:shd w:val="clear" w:color="auto" w:fill="FFFFFF"/>
        </w:rPr>
        <w:t xml:space="preserve">00).              </w:t>
      </w:r>
      <w:r w:rsidRPr="000046F3">
        <w:rPr>
          <w:b/>
          <w:color w:val="282828"/>
          <w:sz w:val="20"/>
          <w:szCs w:val="20"/>
          <w:shd w:val="clear" w:color="auto" w:fill="FFFFFF"/>
        </w:rPr>
        <w:t xml:space="preserve">SI </w:t>
      </w:r>
      <w:proofErr w:type="gramStart"/>
      <w:r w:rsidR="009A3D66">
        <w:rPr>
          <w:b/>
          <w:color w:val="282828"/>
          <w:sz w:val="20"/>
          <w:szCs w:val="20"/>
          <w:shd w:val="clear" w:color="auto" w:fill="FFFFFF"/>
        </w:rPr>
        <w:t>(</w:t>
      </w:r>
      <w:r w:rsidRPr="000046F3">
        <w:rPr>
          <w:b/>
          <w:color w:val="282828"/>
          <w:sz w:val="20"/>
          <w:szCs w:val="20"/>
          <w:shd w:val="clear" w:color="auto" w:fill="FFFFFF"/>
        </w:rPr>
        <w:t>  )</w:t>
      </w:r>
      <w:proofErr w:type="gramEnd"/>
      <w:r w:rsidRPr="000046F3">
        <w:rPr>
          <w:b/>
          <w:color w:val="282828"/>
          <w:sz w:val="20"/>
          <w:szCs w:val="20"/>
          <w:shd w:val="clear" w:color="auto" w:fill="FFFFFF"/>
        </w:rPr>
        <w:t>   NO (</w:t>
      </w:r>
      <w:r>
        <w:rPr>
          <w:b/>
          <w:color w:val="282828"/>
          <w:sz w:val="20"/>
          <w:szCs w:val="20"/>
          <w:shd w:val="clear" w:color="auto" w:fill="FFFFFF"/>
        </w:rPr>
        <w:t xml:space="preserve"> </w:t>
      </w:r>
      <w:r w:rsidRPr="000046F3">
        <w:rPr>
          <w:b/>
          <w:color w:val="282828"/>
          <w:sz w:val="20"/>
          <w:szCs w:val="20"/>
          <w:shd w:val="clear" w:color="auto" w:fill="FFFFFF"/>
        </w:rPr>
        <w:t xml:space="preserve"> )</w:t>
      </w:r>
      <w:r w:rsidRPr="000046F3">
        <w:rPr>
          <w:rStyle w:val="apple-converted-space"/>
          <w:b/>
          <w:color w:val="282828"/>
          <w:sz w:val="20"/>
          <w:szCs w:val="20"/>
          <w:shd w:val="clear" w:color="auto" w:fill="FFFFFF"/>
        </w:rPr>
        <w:t> </w:t>
      </w:r>
    </w:p>
    <w:p w14:paraId="7E6CDAFB" w14:textId="46F5C88F" w:rsidR="005D4C35" w:rsidRDefault="005D4C35" w:rsidP="005D4C35">
      <w:pPr>
        <w:pStyle w:val="Prrafodelista"/>
        <w:rPr>
          <w:rStyle w:val="apple-converted-space"/>
          <w:color w:val="282828"/>
          <w:sz w:val="20"/>
          <w:szCs w:val="20"/>
          <w:shd w:val="clear" w:color="auto" w:fill="FFFFFF"/>
        </w:rPr>
      </w:pPr>
    </w:p>
    <w:bookmarkEnd w:id="0"/>
    <w:p w14:paraId="3119C1AD" w14:textId="45B2A2A2" w:rsidR="005D4C35" w:rsidRDefault="005D4C35" w:rsidP="005D4C3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711604BA" w14:textId="74C058A4" w:rsidR="00A67A67" w:rsidRDefault="00A67A67" w:rsidP="005D4C3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12157C33" w14:textId="77777777" w:rsidR="00A67A67" w:rsidRPr="00041DAF" w:rsidRDefault="00A67A67" w:rsidP="005D4C35">
      <w:pPr>
        <w:pStyle w:val="Prrafodelista"/>
        <w:spacing w:after="0" w:line="240" w:lineRule="auto"/>
        <w:ind w:left="0"/>
        <w:jc w:val="both"/>
        <w:rPr>
          <w:sz w:val="20"/>
          <w:szCs w:val="20"/>
        </w:rPr>
      </w:pPr>
    </w:p>
    <w:p w14:paraId="4427D24E" w14:textId="77777777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>_____________________________________</w:t>
      </w:r>
    </w:p>
    <w:p w14:paraId="46BBC69D" w14:textId="77777777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>Firma:</w:t>
      </w:r>
    </w:p>
    <w:p w14:paraId="2CBF4B6E" w14:textId="2BA80913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 xml:space="preserve">Nombre: </w:t>
      </w:r>
    </w:p>
    <w:p w14:paraId="688A689D" w14:textId="77777777" w:rsidR="005D4C35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>Documento de Identificación:</w:t>
      </w:r>
    </w:p>
    <w:p w14:paraId="41BD7EFF" w14:textId="72FCFF64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>Dirección:</w:t>
      </w:r>
      <w:r>
        <w:rPr>
          <w:sz w:val="20"/>
          <w:szCs w:val="20"/>
        </w:rPr>
        <w:t xml:space="preserve"> </w:t>
      </w:r>
    </w:p>
    <w:p w14:paraId="1DBDD3C8" w14:textId="6EDEA61F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>Correo Electrónico:</w:t>
      </w:r>
      <w:r>
        <w:rPr>
          <w:sz w:val="20"/>
          <w:szCs w:val="20"/>
        </w:rPr>
        <w:t xml:space="preserve"> </w:t>
      </w:r>
    </w:p>
    <w:p w14:paraId="16725CA7" w14:textId="190FC95B" w:rsidR="005D4C35" w:rsidRPr="00041DAF" w:rsidRDefault="005D4C35" w:rsidP="005D4C35">
      <w:pPr>
        <w:spacing w:after="0" w:line="240" w:lineRule="auto"/>
        <w:jc w:val="both"/>
        <w:rPr>
          <w:sz w:val="20"/>
          <w:szCs w:val="20"/>
        </w:rPr>
      </w:pPr>
      <w:r w:rsidRPr="00041DAF">
        <w:rPr>
          <w:sz w:val="20"/>
          <w:szCs w:val="20"/>
        </w:rPr>
        <w:t>Teléfono:</w:t>
      </w:r>
    </w:p>
    <w:p w14:paraId="3C592099" w14:textId="77777777" w:rsidR="005D4C35" w:rsidRPr="00041DAF" w:rsidRDefault="005D4C35" w:rsidP="005D4C35">
      <w:pPr>
        <w:spacing w:after="0" w:line="240" w:lineRule="auto"/>
        <w:jc w:val="both"/>
        <w:rPr>
          <w:b/>
          <w:sz w:val="20"/>
          <w:szCs w:val="20"/>
        </w:rPr>
      </w:pPr>
      <w:r w:rsidRPr="00041DAF">
        <w:rPr>
          <w:b/>
          <w:sz w:val="20"/>
          <w:szCs w:val="20"/>
        </w:rPr>
        <w:t>______________________________________________________________________________</w:t>
      </w:r>
    </w:p>
    <w:p w14:paraId="424474AF" w14:textId="77777777" w:rsidR="005D4C35" w:rsidRDefault="005D4C35" w:rsidP="005D4C35">
      <w:pPr>
        <w:spacing w:after="0" w:line="240" w:lineRule="auto"/>
        <w:jc w:val="both"/>
        <w:rPr>
          <w:rFonts w:eastAsia="Times New Roman"/>
          <w:b/>
          <w:color w:val="000000"/>
          <w:sz w:val="12"/>
          <w:szCs w:val="12"/>
          <w:lang w:val="es-ES" w:eastAsia="es-ES"/>
        </w:rPr>
      </w:pPr>
    </w:p>
    <w:p w14:paraId="573D3504" w14:textId="0A0B0CD9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b/>
          <w:color w:val="000000"/>
          <w:sz w:val="12"/>
          <w:szCs w:val="12"/>
          <w:lang w:val="es-ES" w:eastAsia="es-ES"/>
        </w:rPr>
        <w:t>Nota 1:</w:t>
      </w: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 xml:space="preserve"> Recuerde que en desarrollo del decreto 1070 de 2013 toda persona está en obligación de auto clasificarse dentro de la categoría tributaria que le </w:t>
      </w:r>
      <w:r w:rsidR="009A3D66" w:rsidRPr="00041DAF">
        <w:rPr>
          <w:rFonts w:eastAsia="Times New Roman"/>
          <w:color w:val="000000"/>
          <w:sz w:val="12"/>
          <w:szCs w:val="12"/>
          <w:lang w:val="es-ES" w:eastAsia="es-ES"/>
        </w:rPr>
        <w:t>corresponda e</w:t>
      </w: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 xml:space="preserve"> informarle por escrito a sus pagadores. Es importante que antes de diligenciar este formato usted valide e </w:t>
      </w:r>
      <w:r w:rsidR="009A3D66" w:rsidRPr="00041DAF">
        <w:rPr>
          <w:rFonts w:eastAsia="Times New Roman"/>
          <w:color w:val="000000"/>
          <w:sz w:val="12"/>
          <w:szCs w:val="12"/>
          <w:lang w:val="es-ES" w:eastAsia="es-ES"/>
        </w:rPr>
        <w:t>identifique efectivamente</w:t>
      </w: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 xml:space="preserve"> a que categoría tributaria </w:t>
      </w:r>
      <w:r w:rsidR="009A3D66" w:rsidRPr="00041DAF">
        <w:rPr>
          <w:rFonts w:eastAsia="Times New Roman"/>
          <w:color w:val="000000"/>
          <w:sz w:val="12"/>
          <w:szCs w:val="12"/>
          <w:lang w:val="es-ES" w:eastAsia="es-ES"/>
        </w:rPr>
        <w:t>pertenece conforme a las</w:t>
      </w: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 xml:space="preserve"> descritas en el Art 329 del E.T.</w:t>
      </w:r>
    </w:p>
    <w:p w14:paraId="6227B351" w14:textId="77777777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b/>
          <w:color w:val="000000"/>
          <w:sz w:val="12"/>
          <w:szCs w:val="12"/>
          <w:lang w:val="es-ES" w:eastAsia="es-ES"/>
        </w:rPr>
        <w:t>Nota 2:</w:t>
      </w: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 xml:space="preserve"> ARTICULO 18°. Adiciónese el artículo 388 Estatuto Tributario el cual quedará así:</w:t>
      </w:r>
    </w:p>
    <w:p w14:paraId="2817149A" w14:textId="77777777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ARTICULO 388. DEPURACIÓN DE LA BASE DEL CÁLCULO DE LA RETENCIÓN EN LA FUENTE. Para obtener la base de retención en la fuente sobre los pagos o abonos en cuenta por concepto de rentas de trabajo efectuados a personas naturales, se podrán detraer los siguientes</w:t>
      </w:r>
    </w:p>
    <w:p w14:paraId="187E1A2F" w14:textId="77777777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1.  Los ingresos que la ley de manera taxativa prevé como no constitutivos de renta ni ganancia ocasional.</w:t>
      </w:r>
    </w:p>
    <w:p w14:paraId="38BF466E" w14:textId="77777777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2.  Las deducciones a que se refiere el artículo 387 Estatuto Tributaría y rentas que la ley manera taxativa prevé como exentas. todo caso, la suma total de deducciones y rentas exentas no podrá superar el cuarenta por ciento (40%) del resultado de restar del monto del pago o abono en cuenta no constitutivos de renta ni ganancia ocasional imputables. Esta limitación no aplicará en el caso del pago de pensiones de jubilación, invalidez, vejez, sobrevivientes y profesionales, las indemnizaciones sustitutivas de las pensiones y devoluciones ahorro pensiona/.</w:t>
      </w:r>
    </w:p>
    <w:p w14:paraId="1CFDBD22" w14:textId="77777777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La exención prevista en el numeral 10 artículo 206 del Estatuto Tributario procede también para pagos o abonos en cuenta por concepto de ingresos por honorarios y por compensación por servicios obtenidos por personas informen que no han contratado o vinculado (2) o más trabajadores asociados a la actividad.</w:t>
      </w:r>
    </w:p>
    <w:p w14:paraId="4D4D8CA7" w14:textId="77777777" w:rsidR="005D4C35" w:rsidRPr="00041DAF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Los factores depuración de la base retención los trabajadores cuyos ingresos no provengan una relación laboral, o legal y reglamentaria, se determinarán mediante los soportes que adjunte el trabajador a la factura o documento equivalente o el documento expedido por las no obligadas a facturar en los términos del inciso del artículo 771-2 Estatuto Tributario.</w:t>
      </w:r>
    </w:p>
    <w:p w14:paraId="3319D190" w14:textId="64F8A539" w:rsidR="005D4C35" w:rsidRDefault="005D4C35" w:rsidP="005D4C35">
      <w:pPr>
        <w:spacing w:after="0" w:line="240" w:lineRule="auto"/>
        <w:jc w:val="both"/>
        <w:rPr>
          <w:rFonts w:eastAsia="Times New Roman"/>
          <w:color w:val="000000"/>
          <w:sz w:val="12"/>
          <w:szCs w:val="12"/>
          <w:lang w:val="es-ES" w:eastAsia="es-ES"/>
        </w:rPr>
      </w:pP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PARÁGRAFO. Para efectos la aplicación la de retención en la fuente en el artículo 383 del Estatuto Tributario a las personas naturales cuyos pagos o abonos en cuenta no provengan de una relación laboral, o legal y reglamentaria, se deberá en cuenta la totalidad de</w:t>
      </w:r>
      <w:r>
        <w:rPr>
          <w:rFonts w:eastAsia="Times New Roman"/>
          <w:color w:val="000000"/>
          <w:sz w:val="12"/>
          <w:szCs w:val="12"/>
          <w:lang w:val="es-ES" w:eastAsia="es-ES"/>
        </w:rPr>
        <w:t xml:space="preserve"> </w:t>
      </w:r>
      <w:r w:rsidRPr="00041DAF">
        <w:rPr>
          <w:rFonts w:eastAsia="Times New Roman"/>
          <w:color w:val="000000"/>
          <w:sz w:val="12"/>
          <w:szCs w:val="12"/>
          <w:lang w:val="es-ES" w:eastAsia="es-ES"/>
        </w:rPr>
        <w:t>los pagos o abonos en cuenta efectuados en el respetivo mes,</w:t>
      </w:r>
    </w:p>
    <w:p w14:paraId="55D159DE" w14:textId="6154DD4A" w:rsidR="001A7C46" w:rsidRPr="00322DD9" w:rsidRDefault="009A3D66" w:rsidP="00322DD9">
      <w:pPr>
        <w:spacing w:after="0" w:line="240" w:lineRule="auto"/>
        <w:jc w:val="both"/>
        <w:rPr>
          <w:sz w:val="12"/>
          <w:szCs w:val="12"/>
          <w:lang w:val="es-ES"/>
        </w:rPr>
      </w:pPr>
      <w:r w:rsidRPr="009A3D66">
        <w:rPr>
          <w:rFonts w:eastAsia="Times New Roman"/>
          <w:b/>
          <w:color w:val="000000"/>
          <w:sz w:val="12"/>
          <w:szCs w:val="12"/>
          <w:lang w:val="es-ES" w:eastAsia="es-ES"/>
        </w:rPr>
        <w:t>Nota 3:</w:t>
      </w:r>
      <w:r>
        <w:rPr>
          <w:rFonts w:eastAsia="Times New Roman"/>
          <w:color w:val="000000"/>
          <w:sz w:val="12"/>
          <w:szCs w:val="12"/>
          <w:lang w:val="es-ES" w:eastAsia="es-ES"/>
        </w:rPr>
        <w:t xml:space="preserve"> Decreto 2231 del 22 De </w:t>
      </w:r>
      <w:r w:rsidR="00A67A67">
        <w:rPr>
          <w:rFonts w:eastAsia="Times New Roman"/>
          <w:color w:val="000000"/>
          <w:sz w:val="12"/>
          <w:szCs w:val="12"/>
          <w:lang w:val="es-ES" w:eastAsia="es-ES"/>
        </w:rPr>
        <w:t>diciembre</w:t>
      </w:r>
      <w:r>
        <w:rPr>
          <w:rFonts w:eastAsia="Times New Roman"/>
          <w:color w:val="000000"/>
          <w:sz w:val="12"/>
          <w:szCs w:val="12"/>
          <w:lang w:val="es-ES" w:eastAsia="es-ES"/>
        </w:rPr>
        <w:t xml:space="preserve"> del 2023.</w:t>
      </w:r>
    </w:p>
    <w:sectPr w:rsidR="001A7C46" w:rsidRPr="00322D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1E5B"/>
    <w:multiLevelType w:val="hybridMultilevel"/>
    <w:tmpl w:val="838042D8"/>
    <w:lvl w:ilvl="0" w:tplc="C2AA9F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282828"/>
        <w:u w:val="singl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169FF"/>
    <w:multiLevelType w:val="multilevel"/>
    <w:tmpl w:val="A6408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35"/>
    <w:rsid w:val="001A7C46"/>
    <w:rsid w:val="00322DD9"/>
    <w:rsid w:val="00326F33"/>
    <w:rsid w:val="005D4C35"/>
    <w:rsid w:val="0063211B"/>
    <w:rsid w:val="009A3D66"/>
    <w:rsid w:val="00A67A67"/>
    <w:rsid w:val="00D524E5"/>
    <w:rsid w:val="00DC049A"/>
    <w:rsid w:val="00D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BAE3"/>
  <w15:chartTrackingRefBased/>
  <w15:docId w15:val="{6A42ECE0-0267-4B0B-9EFD-9EB0EAC0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35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C35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5D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COMFACESAR</dc:creator>
  <cp:keywords/>
  <dc:description/>
  <cp:lastModifiedBy>COMFACESAR</cp:lastModifiedBy>
  <cp:revision>6</cp:revision>
  <dcterms:created xsi:type="dcterms:W3CDTF">2024-01-29T17:35:00Z</dcterms:created>
  <dcterms:modified xsi:type="dcterms:W3CDTF">2024-01-30T20:17:00Z</dcterms:modified>
</cp:coreProperties>
</file>